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b/>
          <w:bCs/>
        </w:rPr>
        <w:t>Planning application 26/P00</w:t>
      </w:r>
      <w:r w:rsidR="00792029">
        <w:rPr>
          <w:rFonts w:ascii="Verdana" w:eastAsia="Times New Roman" w:hAnsi="Verdana" w:cs="Times New Roman"/>
          <w:b/>
          <w:bCs/>
        </w:rPr>
        <w:t>0</w:t>
      </w:r>
      <w:r w:rsidRPr="00484C65">
        <w:rPr>
          <w:rFonts w:ascii="Verdana" w:eastAsia="Times New Roman" w:hAnsi="Verdana" w:cs="Times New Roman"/>
          <w:b/>
          <w:bCs/>
        </w:rPr>
        <w:t xml:space="preserve">2: Development of </w:t>
      </w:r>
      <w:r w:rsidRPr="00484C65">
        <w:rPr>
          <w:rFonts w:ascii="Verdana" w:eastAsia="Times New Roman" w:hAnsi="Verdana" w:cs="Times New Roman"/>
          <w:b/>
          <w:bCs/>
          <w:shd w:val="clear" w:color="auto" w:fill="FFFFFF"/>
        </w:rPr>
        <w:t xml:space="preserve">Local Plan Site CW2 </w:t>
      </w:r>
      <w:r w:rsidRPr="00484C65">
        <w:rPr>
          <w:rFonts w:ascii="Verdana" w:eastAsia="Times New Roman" w:hAnsi="Verdana" w:cs="Times New Roman"/>
        </w:rPr>
        <w:t>(</w:t>
      </w:r>
      <w:r w:rsidRPr="00484C65">
        <w:rPr>
          <w:rFonts w:ascii="Verdana" w:eastAsia="Times New Roman" w:hAnsi="Verdana" w:cs="Times New Roman"/>
          <w:b/>
          <w:bCs/>
        </w:rPr>
        <w:t xml:space="preserve">land between High Street and Christchurch Road, Colliers Wood)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Arial" w:eastAsia="Times New Roman" w:hAnsi="Arial" w:cs="Arial"/>
          <w:b/>
          <w:bCs/>
        </w:rPr>
        <w:t xml:space="preserve">SUBMISSION BY THE COLLIERS WOOD RESIDENTS’ ASSOCIATION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b/>
          <w:bCs/>
        </w:rPr>
        <w:t xml:space="preserve">Summary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The Colliers Wood Residents’ Association (CWRA) believes that this planning application should be turned down on the grounds that: </w:t>
      </w:r>
    </w:p>
    <w:p w:rsidR="00484C65" w:rsidRPr="00484C65" w:rsidRDefault="00484C65" w:rsidP="00484C65">
      <w:pPr>
        <w:pStyle w:val="ListParagraph"/>
        <w:numPr>
          <w:ilvl w:val="0"/>
          <w:numId w:val="8"/>
        </w:numPr>
        <w:spacing w:before="100" w:beforeAutospacing="1" w:after="100" w:afterAutospacing="1" w:line="360" w:lineRule="auto"/>
        <w:rPr>
          <w:rFonts w:ascii="Times New Roman" w:eastAsia="Times New Roman" w:hAnsi="Times New Roman" w:cs="Times New Roman"/>
        </w:rPr>
      </w:pPr>
      <w:r w:rsidRPr="00484C65">
        <w:rPr>
          <w:rFonts w:ascii="Verdana" w:eastAsia="Times New Roman" w:hAnsi="Verdana" w:cs="Times New Roman"/>
        </w:rPr>
        <w:t xml:space="preserve">There is no explicit commitment to much-needed affordable housing. Given London’s acute homelessness crisis this is not acceptable. </w:t>
      </w:r>
    </w:p>
    <w:p w:rsidR="00484C65" w:rsidRPr="00484C65" w:rsidRDefault="00484C65" w:rsidP="00484C65">
      <w:pPr>
        <w:pStyle w:val="ListParagraph"/>
        <w:numPr>
          <w:ilvl w:val="0"/>
          <w:numId w:val="8"/>
        </w:numPr>
        <w:spacing w:before="100" w:beforeAutospacing="1" w:after="100" w:afterAutospacing="1" w:line="360" w:lineRule="auto"/>
        <w:rPr>
          <w:rFonts w:ascii="Times New Roman" w:eastAsia="Times New Roman" w:hAnsi="Times New Roman" w:cs="Times New Roman"/>
        </w:rPr>
      </w:pPr>
      <w:r w:rsidRPr="00484C65">
        <w:rPr>
          <w:rFonts w:ascii="Verdana" w:eastAsia="Times New Roman" w:hAnsi="Verdana" w:cs="Times New Roman"/>
        </w:rPr>
        <w:t xml:space="preserve">Over-development. At a total of 42 storeys for the three towers, the proposed development is as dense as the previous, rejected planning application. </w:t>
      </w:r>
    </w:p>
    <w:p w:rsidR="00484C65" w:rsidRPr="00484C65" w:rsidRDefault="00484C65" w:rsidP="00484C65">
      <w:pPr>
        <w:pStyle w:val="ListParagraph"/>
        <w:numPr>
          <w:ilvl w:val="0"/>
          <w:numId w:val="8"/>
        </w:numPr>
        <w:spacing w:before="100" w:beforeAutospacing="1" w:after="100" w:afterAutospacing="1" w:line="360" w:lineRule="auto"/>
        <w:rPr>
          <w:rFonts w:ascii="Times New Roman" w:eastAsia="Times New Roman" w:hAnsi="Times New Roman" w:cs="Times New Roman"/>
        </w:rPr>
      </w:pPr>
      <w:r w:rsidRPr="00484C65">
        <w:rPr>
          <w:rFonts w:ascii="Verdana" w:eastAsia="Times New Roman" w:hAnsi="Verdana" w:cs="Times New Roman"/>
        </w:rPr>
        <w:t xml:space="preserve">Inappropriate massing. The design of the three blocks is slab-like and does not conform to the development guide for this site. </w:t>
      </w:r>
    </w:p>
    <w:p w:rsidR="00484C65" w:rsidRPr="00484C65" w:rsidRDefault="00484C65" w:rsidP="00484C65">
      <w:pPr>
        <w:pStyle w:val="ListParagraph"/>
        <w:numPr>
          <w:ilvl w:val="0"/>
          <w:numId w:val="8"/>
        </w:numPr>
        <w:spacing w:before="100" w:beforeAutospacing="1" w:after="100" w:afterAutospacing="1" w:line="360" w:lineRule="auto"/>
        <w:rPr>
          <w:rFonts w:ascii="Times New Roman" w:eastAsia="Times New Roman" w:hAnsi="Times New Roman" w:cs="Times New Roman"/>
        </w:rPr>
      </w:pPr>
      <w:r w:rsidRPr="00484C65">
        <w:rPr>
          <w:rFonts w:ascii="Verdana" w:eastAsia="Times New Roman" w:hAnsi="Verdana" w:cs="Times New Roman"/>
        </w:rPr>
        <w:t xml:space="preserve">The proposed dwelling mix will encourage a transient population and is not suitable for a town centre adjacent to a residential area such as Colliers Wood. </w:t>
      </w:r>
    </w:p>
    <w:p w:rsidR="00484C65" w:rsidRPr="00484C65" w:rsidRDefault="00484C65" w:rsidP="00484C65">
      <w:pPr>
        <w:pStyle w:val="ListParagraph"/>
        <w:numPr>
          <w:ilvl w:val="0"/>
          <w:numId w:val="8"/>
        </w:numPr>
        <w:spacing w:before="100" w:beforeAutospacing="1" w:after="100" w:afterAutospacing="1" w:line="360" w:lineRule="auto"/>
        <w:ind w:left="714" w:hanging="357"/>
        <w:rPr>
          <w:rFonts w:ascii="Times New Roman" w:eastAsia="Times New Roman" w:hAnsi="Times New Roman" w:cs="Times New Roman"/>
        </w:rPr>
      </w:pPr>
      <w:r w:rsidRPr="00484C65">
        <w:rPr>
          <w:rFonts w:ascii="Verdana" w:eastAsia="Times New Roman" w:hAnsi="Verdana" w:cs="Times New Roman"/>
        </w:rPr>
        <w:t>The proposed scheme misses the opportunity this major site provides to improve the supply o</w:t>
      </w:r>
      <w:bookmarkStart w:id="0" w:name="_GoBack"/>
      <w:bookmarkEnd w:id="0"/>
      <w:r w:rsidRPr="00484C65">
        <w:rPr>
          <w:rFonts w:ascii="Verdana" w:eastAsia="Times New Roman" w:hAnsi="Verdana" w:cs="Times New Roman"/>
        </w:rPr>
        <w:t xml:space="preserve">f permanent housing.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CWRA also has concerns about: </w:t>
      </w:r>
    </w:p>
    <w:p w:rsidR="00484C65" w:rsidRPr="00484C65" w:rsidRDefault="00484C65" w:rsidP="00484C65">
      <w:pPr>
        <w:numPr>
          <w:ilvl w:val="0"/>
          <w:numId w:val="3"/>
        </w:numPr>
        <w:spacing w:before="100" w:beforeAutospacing="1" w:after="100" w:afterAutospacing="1" w:line="276" w:lineRule="auto"/>
        <w:rPr>
          <w:rFonts w:ascii="Verdana" w:eastAsia="Times New Roman" w:hAnsi="Verdana" w:cs="Times New Roman"/>
        </w:rPr>
      </w:pPr>
      <w:r w:rsidRPr="00484C65">
        <w:rPr>
          <w:rFonts w:ascii="Verdana" w:eastAsia="Times New Roman" w:hAnsi="Verdana" w:cs="Times New Roman"/>
        </w:rPr>
        <w:t xml:space="preserve">The financial viability assessment. This has not been made public and (on past track record) is likely to be manipulated in order to minimise the obligations placed on Criterion in the Section 106 agreement. </w:t>
      </w:r>
    </w:p>
    <w:p w:rsidR="00484C65" w:rsidRPr="00484C65" w:rsidRDefault="00484C65" w:rsidP="00484C65">
      <w:pPr>
        <w:numPr>
          <w:ilvl w:val="0"/>
          <w:numId w:val="2"/>
        </w:num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The uncritically favourable consultants’ reports. These ought not to be taken at face value. Independent professional advice should be sought, especially on issues that are critical to the amenity of the development (daylight/sunlight, wind microclimate, overheating etc). </w:t>
      </w:r>
    </w:p>
    <w:p w:rsidR="00484C65" w:rsidRPr="00484C65" w:rsidRDefault="00484C65" w:rsidP="00484C65">
      <w:pPr>
        <w:numPr>
          <w:ilvl w:val="0"/>
          <w:numId w:val="3"/>
        </w:num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lastRenderedPageBreak/>
        <w:t xml:space="preserve">Construction blight and risks. If permission is granted, these will be significant and will last for at least two years. Effective management and mitigation </w:t>
      </w:r>
      <w:proofErr w:type="gramStart"/>
      <w:r w:rsidRPr="00484C65">
        <w:rPr>
          <w:rFonts w:ascii="Verdana" w:eastAsia="Times New Roman" w:hAnsi="Verdana" w:cs="Times New Roman"/>
        </w:rPr>
        <w:t>is</w:t>
      </w:r>
      <w:proofErr w:type="gramEnd"/>
      <w:r w:rsidRPr="00484C65">
        <w:rPr>
          <w:rFonts w:ascii="Verdana" w:eastAsia="Times New Roman" w:hAnsi="Verdana" w:cs="Times New Roman"/>
        </w:rPr>
        <w:t xml:space="preserve"> essential to ensure that life remains tolerable for those affected by the construction. </w:t>
      </w:r>
    </w:p>
    <w:p w:rsidR="00484C65" w:rsidRPr="00484C65" w:rsidRDefault="00484C65" w:rsidP="00484C65">
      <w:pPr>
        <w:numPr>
          <w:ilvl w:val="0"/>
          <w:numId w:val="3"/>
        </w:num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Post-approval attempts by the developer to renege on legal agreements, planning conditions and s106 obligations. If permission is given, planning requirements must be structured and worded in such a way as to prevent this. </w:t>
      </w:r>
    </w:p>
    <w:p w:rsid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b/>
          <w:bCs/>
        </w:rPr>
        <w:t xml:space="preserve">Introduction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CWRA is the body that represents the views of local residents.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Residents have been living with the visual and environmental blight caused by the Colliers Wood Tower (now Britannia Point) for 60 years. Because it falls within an Opportunity Area and has been designated as suitable for tall buildings, Site CW2 is the most important site in Collier’s Wood. The development of the site will affect the amenity of the Town Centre and the quality of life of those who live and work in and around it for decades to come. It is therefore vital that any development on the site: </w:t>
      </w:r>
    </w:p>
    <w:p w:rsidR="00484C65" w:rsidRPr="00484C65" w:rsidRDefault="00484C65" w:rsidP="00484C65">
      <w:pPr>
        <w:numPr>
          <w:ilvl w:val="0"/>
          <w:numId w:val="4"/>
        </w:num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enhances the character, amenity and environment of Colliers Wood </w:t>
      </w:r>
    </w:p>
    <w:p w:rsidR="00484C65" w:rsidRPr="00484C65" w:rsidRDefault="00484C65" w:rsidP="00484C65">
      <w:pPr>
        <w:numPr>
          <w:ilvl w:val="0"/>
          <w:numId w:val="4"/>
        </w:num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exploits the potential of the site to regenerate the Town Centre </w:t>
      </w:r>
    </w:p>
    <w:p w:rsidR="00484C65" w:rsidRPr="00484C65" w:rsidRDefault="00484C65" w:rsidP="00484C65">
      <w:pPr>
        <w:numPr>
          <w:ilvl w:val="0"/>
          <w:numId w:val="4"/>
        </w:num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provides appropriate additional housing, including affordable housing and </w:t>
      </w:r>
    </w:p>
    <w:p w:rsidR="00484C65" w:rsidRPr="00484C65" w:rsidRDefault="00484C65" w:rsidP="00484C65">
      <w:pPr>
        <w:numPr>
          <w:ilvl w:val="0"/>
          <w:numId w:val="4"/>
        </w:num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protects against the social and environmental blight that would</w:t>
      </w:r>
      <w:r>
        <w:rPr>
          <w:rFonts w:ascii="Verdana" w:eastAsia="Times New Roman" w:hAnsi="Verdana" w:cs="Times New Roman"/>
        </w:rPr>
        <w:t xml:space="preserve"> </w:t>
      </w:r>
      <w:r w:rsidRPr="00484C65">
        <w:rPr>
          <w:rFonts w:ascii="Verdana" w:eastAsia="Times New Roman" w:hAnsi="Verdana" w:cs="Times New Roman"/>
        </w:rPr>
        <w:t xml:space="preserve">result from over-intensive development of the site.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b/>
          <w:bCs/>
        </w:rPr>
        <w:t xml:space="preserve">Criterion Capital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CWRA acknowledges, reluctantly, that the reputation of a developer is not a material consideration in determining a planning application. If reputation was allowed as a material consideration, then the Association believes that the present application should be rejected out of hand. It is starkly apparent from the way in which Criterion Capital has overseen the management of Britannia Point, and </w:t>
      </w:r>
      <w:proofErr w:type="gramStart"/>
      <w:r w:rsidRPr="00484C65">
        <w:rPr>
          <w:rFonts w:ascii="Verdana" w:eastAsia="Times New Roman" w:hAnsi="Verdana" w:cs="Times New Roman"/>
        </w:rPr>
        <w:t>it’s</w:t>
      </w:r>
      <w:proofErr w:type="gramEnd"/>
      <w:r w:rsidRPr="00484C65">
        <w:rPr>
          <w:rFonts w:ascii="Verdana" w:eastAsia="Times New Roman" w:hAnsi="Verdana" w:cs="Times New Roman"/>
        </w:rPr>
        <w:t xml:space="preserve"> repeated attempts to wring the maximum financial value out of the vacant site, that this developer cares nothing for the welfare of Colliers Wood or the well-being of its residents.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lastRenderedPageBreak/>
        <w:t xml:space="preserve">Criterion’s behaviour in relation to the danger presented by the poorly installed windows in Britannia Point is especially reprehensible. It left the building and surrounding area blighted by scaffolding for years and an already cash-strapped council significantly out of pocket. More recently, to evade new legal obligations on landlords, Criterion sought to secure vacant possession of Britannia Point by serving eviction notices on its occupants. The possibility that such an organisation is seeking to construct and manage further high-rise buildings in our town centre leaves the Residents’ Association with a sense of profound unease.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u w:val="single"/>
        </w:rPr>
      </w:pPr>
      <w:r w:rsidRPr="00484C65">
        <w:rPr>
          <w:rFonts w:ascii="Verdana" w:eastAsia="Times New Roman" w:hAnsi="Verdana" w:cs="Times New Roman"/>
          <w:b/>
          <w:bCs/>
          <w:u w:val="single"/>
        </w:rPr>
        <w:t xml:space="preserve">The current planning application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Criterion appears to have accepted some of the lessons from the scathing rejection of </w:t>
      </w:r>
      <w:proofErr w:type="spellStart"/>
      <w:proofErr w:type="gramStart"/>
      <w:r w:rsidRPr="00484C65">
        <w:rPr>
          <w:rFonts w:ascii="Verdana" w:eastAsia="Times New Roman" w:hAnsi="Verdana" w:cs="Times New Roman"/>
        </w:rPr>
        <w:t>it’s</w:t>
      </w:r>
      <w:proofErr w:type="spellEnd"/>
      <w:proofErr w:type="gramEnd"/>
      <w:r w:rsidRPr="00484C65">
        <w:rPr>
          <w:rFonts w:ascii="Verdana" w:eastAsia="Times New Roman" w:hAnsi="Verdana" w:cs="Times New Roman"/>
        </w:rPr>
        <w:t xml:space="preserve"> previous application. Some of the more ludicrous propositions, such as the construction of a new 26 storey tower block, have been dropped. However, some of the hallmarks that marred the previous application are still present.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b/>
          <w:bCs/>
        </w:rPr>
        <w:t xml:space="preserve">Affordable housing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The lack of any up-front commitment to the provision of affordable housing is disappointing and unacceptable. Instead of a clear commitment the developer is offering discussions with the Council based on the financial viability assessment to agree “</w:t>
      </w:r>
      <w:r w:rsidRPr="00484C65">
        <w:rPr>
          <w:rFonts w:ascii="Verdana" w:eastAsia="Times New Roman" w:hAnsi="Verdana" w:cs="Times New Roman"/>
          <w:sz w:val="22"/>
          <w:szCs w:val="22"/>
        </w:rPr>
        <w:t xml:space="preserve">the </w:t>
      </w:r>
      <w:r w:rsidRPr="00484C65">
        <w:rPr>
          <w:rFonts w:ascii="Verdana" w:eastAsia="Times New Roman" w:hAnsi="Verdana" w:cs="Times New Roman"/>
        </w:rPr>
        <w:t>maximum reasonable level of</w:t>
      </w:r>
      <w:r>
        <w:rPr>
          <w:rFonts w:ascii="Verdana" w:eastAsia="Times New Roman" w:hAnsi="Verdana" w:cs="Times New Roman"/>
        </w:rPr>
        <w:t xml:space="preserve"> </w:t>
      </w:r>
      <w:r w:rsidRPr="00484C65">
        <w:rPr>
          <w:rFonts w:ascii="Verdana" w:eastAsia="Times New Roman" w:hAnsi="Verdana" w:cs="Times New Roman"/>
        </w:rPr>
        <w:t xml:space="preserve">affordable housing the application proposal can support”. Criterion will no doubt seek to reduce the level of affordable housing (or </w:t>
      </w:r>
      <w:proofErr w:type="spellStart"/>
      <w:r w:rsidRPr="00484C65">
        <w:rPr>
          <w:rFonts w:ascii="Verdana" w:eastAsia="Times New Roman" w:hAnsi="Verdana" w:cs="Times New Roman"/>
        </w:rPr>
        <w:t>it’s</w:t>
      </w:r>
      <w:proofErr w:type="spellEnd"/>
      <w:r w:rsidRPr="00484C65">
        <w:rPr>
          <w:rFonts w:ascii="Verdana" w:eastAsia="Times New Roman" w:hAnsi="Verdana" w:cs="Times New Roman"/>
        </w:rPr>
        <w:t xml:space="preserve"> financial contribution towards this) to as close to zero as possible.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The housing affordability and supply crisis in Merton and across London more generally is well known. Merton’s housing waiting list exceeds 10,000 households, yet only 252 households were housed through social lettings last year. Across London waiting lists total 336,000 households, the highest figure in over a decade.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The crisis will continue unless and until London boroughs hold firm to the 35% minimum set out in the London Plan. Although the council has achieved success in negotiating affordable housing on some minor sites in Merton, no meaningful progress will be made unless significant numbers of affordable units are provided on major sites. Lessons must be learned from the Mitcham Gasworks site, where affordable homes were only achieved (and then at significant expense to the Council) </w:t>
      </w:r>
      <w:r w:rsidRPr="00484C65">
        <w:rPr>
          <w:rFonts w:ascii="Verdana" w:eastAsia="Times New Roman" w:hAnsi="Verdana" w:cs="Times New Roman"/>
          <w:i/>
          <w:iCs/>
        </w:rPr>
        <w:t xml:space="preserve">after </w:t>
      </w:r>
      <w:r w:rsidRPr="00484C65">
        <w:rPr>
          <w:rFonts w:ascii="Verdana" w:eastAsia="Times New Roman" w:hAnsi="Verdana" w:cs="Times New Roman"/>
        </w:rPr>
        <w:t xml:space="preserve">the scheme was approved. The planning application should not be considered </w:t>
      </w:r>
      <w:r w:rsidRPr="00484C65">
        <w:rPr>
          <w:rFonts w:ascii="Verdana" w:eastAsia="Times New Roman" w:hAnsi="Verdana" w:cs="Times New Roman"/>
        </w:rPr>
        <w:lastRenderedPageBreak/>
        <w:t xml:space="preserve">at committee until it includes a commitment to provide at least 35% affordable housing.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b/>
          <w:bCs/>
        </w:rPr>
        <w:t xml:space="preserve">Unacceptable intensification and massing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Criterion proposes to build three tall slab blocks. These total 42 storeys, the same number as the previous application. Furthermore, the tall ground floors (4.2 metres) and utilities on the roof (3.85 metres) add significantly to the overall height of each block. In CWRA’s view this represents an over-development of the site. </w:t>
      </w:r>
    </w:p>
    <w:p w:rsid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The frontages of all three buildings rise vertically from street level and thereby repeat the brutal visual impact of Britannia Point. This design ignores the scale of the immediate area and the wider neighbourhood. The proposed slab blocks do not comply with the requirements of the design code for the site (Colliers Wood Gardens Design Code, December 2025) which stated that:</w:t>
      </w:r>
    </w:p>
    <w:p w:rsidR="00484C65" w:rsidRPr="00484C65" w:rsidRDefault="00484C65" w:rsidP="00484C65">
      <w:pPr>
        <w:spacing w:before="100" w:beforeAutospacing="1" w:after="100" w:afterAutospacing="1" w:line="276" w:lineRule="auto"/>
        <w:ind w:left="709" w:firstLine="11"/>
        <w:rPr>
          <w:rFonts w:ascii="Times New Roman" w:eastAsia="Times New Roman" w:hAnsi="Times New Roman" w:cs="Times New Roman"/>
        </w:rPr>
      </w:pPr>
      <w:r w:rsidRPr="00484C65">
        <w:rPr>
          <w:rFonts w:ascii="Verdana" w:eastAsia="Times New Roman" w:hAnsi="Verdana" w:cs="Times New Roman"/>
        </w:rPr>
        <w:t xml:space="preserve">“Buildings should articulate a distinct base, middle, and top and minimise the impression of unmodulated bulk.” (section 4.1) </w:t>
      </w:r>
    </w:p>
    <w:p w:rsidR="00484C65" w:rsidRPr="00484C65" w:rsidRDefault="00484C65" w:rsidP="00484C65">
      <w:pPr>
        <w:spacing w:before="100" w:beforeAutospacing="1" w:after="100" w:afterAutospacing="1" w:line="276" w:lineRule="auto"/>
        <w:ind w:left="709" w:firstLine="11"/>
        <w:rPr>
          <w:rFonts w:ascii="Times New Roman" w:eastAsia="Times New Roman" w:hAnsi="Times New Roman" w:cs="Times New Roman"/>
        </w:rPr>
      </w:pPr>
      <w:r w:rsidRPr="00484C65">
        <w:rPr>
          <w:rFonts w:ascii="Verdana" w:eastAsia="Times New Roman" w:hAnsi="Verdana" w:cs="Times New Roman"/>
        </w:rPr>
        <w:t xml:space="preserve">and more specifically that: </w:t>
      </w:r>
    </w:p>
    <w:p w:rsidR="00484C65" w:rsidRPr="00484C65" w:rsidRDefault="00484C65" w:rsidP="00484C65">
      <w:pPr>
        <w:spacing w:before="100" w:beforeAutospacing="1" w:after="100" w:afterAutospacing="1" w:line="276" w:lineRule="auto"/>
        <w:ind w:left="709" w:firstLine="11"/>
        <w:rPr>
          <w:rFonts w:ascii="Times New Roman" w:eastAsia="Times New Roman" w:hAnsi="Times New Roman" w:cs="Times New Roman"/>
        </w:rPr>
      </w:pPr>
      <w:r w:rsidRPr="00484C65">
        <w:rPr>
          <w:rFonts w:ascii="Verdana" w:eastAsia="Times New Roman" w:hAnsi="Verdana" w:cs="Times New Roman"/>
        </w:rPr>
        <w:t xml:space="preserve">“Building heights should be informed by the adjacent Britannia Point building and seek to create a coherent cluster while respecting the suburban scale of Christchurch Road to the east. This strategy ensures that new development respects the setting of the established residential areas while placing greater density in locations best served by transport infrastructure and away from sensitive heritage assets. </w:t>
      </w:r>
      <w:r w:rsidRPr="00484C65">
        <w:rPr>
          <w:rFonts w:ascii="Verdana" w:eastAsia="Times New Roman" w:hAnsi="Verdana" w:cs="Times New Roman"/>
          <w:b/>
          <w:bCs/>
          <w:i/>
          <w:iCs/>
        </w:rPr>
        <w:t xml:space="preserve">The transition in height should be articulated through stepping and setbacks, preventing abrupt changes in scale. </w:t>
      </w:r>
      <w:r w:rsidRPr="00484C65">
        <w:rPr>
          <w:rFonts w:ascii="Verdana" w:eastAsia="Times New Roman" w:hAnsi="Verdana" w:cs="Times New Roman"/>
        </w:rPr>
        <w:t xml:space="preserve">Massing should be broken down into discernible elements, responding to the urban grain and maximising perimeter block forms to define clear street frontages. </w:t>
      </w:r>
      <w:r w:rsidRPr="00484C65">
        <w:rPr>
          <w:rFonts w:ascii="Verdana" w:eastAsia="Times New Roman" w:hAnsi="Verdana" w:cs="Times New Roman"/>
          <w:b/>
          <w:bCs/>
          <w:i/>
          <w:iCs/>
        </w:rPr>
        <w:t xml:space="preserve">Taller elements must be slender, carefully articulated, and well- designed to terminate views positively.” </w:t>
      </w:r>
      <w:r w:rsidRPr="00484C65">
        <w:rPr>
          <w:rFonts w:ascii="Verdana" w:eastAsia="Times New Roman" w:hAnsi="Verdana" w:cs="Times New Roman"/>
        </w:rPr>
        <w:t xml:space="preserve">(section 5.3, our emphasis).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The 220 dwellings envisaged for this site by the council could be achieved by three buildings of between ten and fourteen storeys, with stepping and setbacks to improve their visual impact and reduce losses of daylight and sunlight to the new properties and surrounding area.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b/>
          <w:bCs/>
        </w:rPr>
        <w:lastRenderedPageBreak/>
        <w:t xml:space="preserve">Dwelling mix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CWRA acknowledges the need for additional housing across the capital and in Merton in particular. We are aware that the council needs to meet challenging housing targets over the next 10 years. Site CW2 can contribute to the achievement of these targets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However, the proposed development provides only 76 conventional flats. The council’s brief for the site envisages up to 220 residential units, so this is a significant lost opportunity to provide the most-needed form of accommodation. The significantly larger provision for co-living and an apart-hotel is not considered suitable for a local centre such as Colliers Wood. Such developments are by their nature characterised by high turnover and the people who use them have no real stake in contributing to the thriving Colliers Wood community envisaged in the Local Plan.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The new buildings are proposed to be managed by Britannia Heights Freehold Ltd, which already manage the existing Britannia Point building. Local councillors receive a steady and significant stream of complaints from tenants about the management and maintenance of Britannia Point. The three proposed forms of development on the site each need a different form of management. Given the track record of mismanagement at Britannia Point, the Association has no confidence that Britannia Heights Freehold Ltd has the experience, motivation or ability to manage the proposed new properties effectively.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b/>
          <w:bCs/>
        </w:rPr>
        <w:t xml:space="preserve">Financial viability assessment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The financial viability assessment was one of the weakest components of the previous application. It failed to conform to best practice from the Royal Institute of Chartered Surveyors and suggested that the proposed scheme would actually make a loss for the developers.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No financial viability assessment (FVA) for the proposed development has been uploaded to the Council’s website. CWRA opposes this lack of transparency on the developer’s part. The FVA should be open to public scrutiny.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Marginal financial viability is one way in which developers seek to avoid or minimise the imposition by the council of planning obligations that benefit the community at the expense of the developer’s profit margin. The inclusion of novel dwelling formats (the apart hotel and co-living spaces) </w:t>
      </w:r>
      <w:r w:rsidRPr="00484C65">
        <w:rPr>
          <w:rFonts w:ascii="Verdana" w:eastAsia="Times New Roman" w:hAnsi="Verdana" w:cs="Times New Roman"/>
        </w:rPr>
        <w:lastRenderedPageBreak/>
        <w:t xml:space="preserve">means that the FVA requires especially careful scrutiny. The council should commission an independent financial assessment to ensure that Criterion Capital is not allowed to “game” the system and avoid important social, economic and environmental obligations (such as affordable housing).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Criterion has a track record of seeking to renege on agreed planning obligations by asserting changes in the financial viability of a scheme after planning permission has been granted. The council must acquire a sufficiently detailed understanding of the finances of the scheme to prevent any such game-playing.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b/>
          <w:bCs/>
        </w:rPr>
        <w:t xml:space="preserve">Conveniently favourable consultants’ reports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In the same fashion as the previous application, the plethora of consultants paid by Criterion to assess </w:t>
      </w:r>
      <w:proofErr w:type="spellStart"/>
      <w:proofErr w:type="gramStart"/>
      <w:r w:rsidRPr="00484C65">
        <w:rPr>
          <w:rFonts w:ascii="Verdana" w:eastAsia="Times New Roman" w:hAnsi="Verdana" w:cs="Times New Roman"/>
        </w:rPr>
        <w:t>it’s</w:t>
      </w:r>
      <w:proofErr w:type="spellEnd"/>
      <w:proofErr w:type="gramEnd"/>
      <w:r w:rsidRPr="00484C65">
        <w:rPr>
          <w:rFonts w:ascii="Verdana" w:eastAsia="Times New Roman" w:hAnsi="Verdana" w:cs="Times New Roman"/>
        </w:rPr>
        <w:t xml:space="preserve"> proposals have all come to conveniently positive conclusions on the scheme’s impact. On closer inspection the favourable conclusions the consultants’ reports reached for the previous application on issues such as wind microclimate, overheating, and daylight/sunlight effects were found to be unjustified.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None of the conclusions in the current suite of reports can therefore be taken at face value, and CWRA believes they must all be verified by genuinely objective and independent experts.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CWRA is especially concerned about the potential effect of shadowing on the ecology of </w:t>
      </w:r>
      <w:proofErr w:type="spellStart"/>
      <w:r w:rsidRPr="00484C65">
        <w:rPr>
          <w:rFonts w:ascii="Verdana" w:eastAsia="Times New Roman" w:hAnsi="Verdana" w:cs="Times New Roman"/>
        </w:rPr>
        <w:t>Wandle</w:t>
      </w:r>
      <w:proofErr w:type="spellEnd"/>
      <w:r w:rsidRPr="00484C65">
        <w:rPr>
          <w:rFonts w:ascii="Verdana" w:eastAsia="Times New Roman" w:hAnsi="Verdana" w:cs="Times New Roman"/>
        </w:rPr>
        <w:t xml:space="preserve"> Park, and asks that the Council checks this aspect of the scheme carefully.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In the previous application, simple mathematical errors acted to the developer’s benefit, for instance in terms of the amount of play space that the proposed development required. Any such calculations in the present application (e.g. in relation to the internal and external communal spaces for the co-living units) therefore need careful checking by the council to ensure that they comply with relevant guidance and planning requirements.</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b/>
          <w:bCs/>
          <w:shd w:val="clear" w:color="auto" w:fill="FFFFFF"/>
        </w:rPr>
        <w:t xml:space="preserve">Construction blight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 xml:space="preserve">Because of its excessive scale the proposed scheme will require a minimum 27-month construction phase. Over-runs on schemes of this nature are not uncommon, so the actual construction phase is likely to last longer. During this time, local shops, parks and playing fields as well </w:t>
      </w:r>
      <w:r w:rsidRPr="00484C65">
        <w:rPr>
          <w:rFonts w:ascii="Verdana" w:eastAsia="Times New Roman" w:hAnsi="Verdana" w:cs="Times New Roman"/>
          <w:shd w:val="clear" w:color="auto" w:fill="FFFFFF"/>
        </w:rPr>
        <w:lastRenderedPageBreak/>
        <w:t xml:space="preserve">as hundreds of residents and school children will be blighted by noise, dirt, pollution and disruption to their daily lives.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 xml:space="preserve">Managed badly, a development on the scale proposed will have a significant environmental impact on local residential and commercial properties, reduce the safety pedestrians and cyclists, disrupt traffic flow, interfere with the smooth operation of local buses, damage health by generating dust and pollutants and disrupt the education of children at </w:t>
      </w:r>
      <w:proofErr w:type="spellStart"/>
      <w:r w:rsidRPr="00484C65">
        <w:rPr>
          <w:rFonts w:ascii="Verdana" w:eastAsia="Times New Roman" w:hAnsi="Verdana" w:cs="Times New Roman"/>
          <w:shd w:val="clear" w:color="auto" w:fill="FFFFFF"/>
        </w:rPr>
        <w:t>Singlegate</w:t>
      </w:r>
      <w:proofErr w:type="spellEnd"/>
      <w:r w:rsidRPr="00484C65">
        <w:rPr>
          <w:rFonts w:ascii="Verdana" w:eastAsia="Times New Roman" w:hAnsi="Verdana" w:cs="Times New Roman"/>
          <w:shd w:val="clear" w:color="auto" w:fill="FFFFFF"/>
        </w:rPr>
        <w:t xml:space="preserve"> primary school. Rigorous requirements should be put in place to mitigate all these risks. Detailed control measures should be stipulated. Adherence to them should be monitored and the council should take early and effective enforcement action as soon as any breaches are identified.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 xml:space="preserve">Particular care must be taken to ensure the safety of children and adults arriving at and departing from </w:t>
      </w:r>
      <w:proofErr w:type="spellStart"/>
      <w:r w:rsidRPr="00484C65">
        <w:rPr>
          <w:rFonts w:ascii="Verdana" w:eastAsia="Times New Roman" w:hAnsi="Verdana" w:cs="Times New Roman"/>
          <w:shd w:val="clear" w:color="auto" w:fill="FFFFFF"/>
        </w:rPr>
        <w:t>Singlegate</w:t>
      </w:r>
      <w:proofErr w:type="spellEnd"/>
      <w:r w:rsidRPr="00484C65">
        <w:rPr>
          <w:rFonts w:ascii="Verdana" w:eastAsia="Times New Roman" w:hAnsi="Verdana" w:cs="Times New Roman"/>
          <w:shd w:val="clear" w:color="auto" w:fill="FFFFFF"/>
        </w:rPr>
        <w:t xml:space="preserve"> primary school. The construction management plan needs to take careful account of the number and flow of children and parents in the area at the busiest school drop-off and pick-up times.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b/>
          <w:bCs/>
          <w:shd w:val="clear" w:color="auto" w:fill="FFFFFF"/>
        </w:rPr>
        <w:t xml:space="preserve">Precautionary steps in the event that planning permission is granted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If and when planning permission is granted, the council’s ability to influence the nature of the development will diminish dramatically. The council must therefore maximise the leverage that legal agreements,</w:t>
      </w:r>
      <w:r>
        <w:rPr>
          <w:rFonts w:ascii="Verdana" w:eastAsia="Times New Roman" w:hAnsi="Verdana" w:cs="Times New Roman"/>
          <w:shd w:val="clear" w:color="auto" w:fill="FFFFFF"/>
        </w:rPr>
        <w:t xml:space="preserve"> </w:t>
      </w:r>
      <w:r w:rsidRPr="00484C65">
        <w:rPr>
          <w:rFonts w:ascii="Verdana" w:eastAsia="Times New Roman" w:hAnsi="Verdana" w:cs="Times New Roman"/>
          <w:shd w:val="clear" w:color="auto" w:fill="FFFFFF"/>
        </w:rPr>
        <w:t xml:space="preserve">planning conditions and s106 planning obligations provide to safeguard the interests of local residents, businesses and visitors.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 xml:space="preserve">All </w:t>
      </w:r>
      <w:r w:rsidRPr="00484C65">
        <w:rPr>
          <w:rFonts w:ascii="Verdana" w:eastAsia="Times New Roman" w:hAnsi="Verdana" w:cs="Times New Roman"/>
          <w:b/>
          <w:bCs/>
          <w:shd w:val="clear" w:color="auto" w:fill="FFFFFF"/>
        </w:rPr>
        <w:t xml:space="preserve">legal agreements </w:t>
      </w:r>
      <w:r w:rsidRPr="00484C65">
        <w:rPr>
          <w:rFonts w:ascii="Verdana" w:eastAsia="Times New Roman" w:hAnsi="Verdana" w:cs="Times New Roman"/>
          <w:shd w:val="clear" w:color="auto" w:fill="FFFFFF"/>
        </w:rPr>
        <w:t xml:space="preserve">(on policing, parking, street trees, travel and the like) must be in place prior to approval.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 xml:space="preserve">The stipulations for when </w:t>
      </w:r>
      <w:r w:rsidRPr="00484C65">
        <w:rPr>
          <w:rFonts w:ascii="Verdana" w:eastAsia="Times New Roman" w:hAnsi="Verdana" w:cs="Times New Roman"/>
          <w:b/>
          <w:bCs/>
          <w:shd w:val="clear" w:color="auto" w:fill="FFFFFF"/>
        </w:rPr>
        <w:t xml:space="preserve">planning conditions </w:t>
      </w:r>
      <w:r w:rsidRPr="00484C65">
        <w:rPr>
          <w:rFonts w:ascii="Verdana" w:eastAsia="Times New Roman" w:hAnsi="Verdana" w:cs="Times New Roman"/>
          <w:shd w:val="clear" w:color="auto" w:fill="FFFFFF"/>
        </w:rPr>
        <w:t xml:space="preserve">need to be met should be precise and unambiguous. Wherever possible they should be tied to specific and identifiable phases of the development (e.g. before commencement, before above-ground construction starts or before occupation of the dwellings or business spaces).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 xml:space="preserve">Criterion’s recent attempt to evict all the residents of Britannia Point before new leasehold legislation takes effect is just the most recent example demonstrating that it cannot be trusted to manage property responsibly. As mentioned earlier, CWRA does not believe that Colliers Wood is an appropriate area for co-living or apart-hotel accommodation. </w:t>
      </w:r>
      <w:r w:rsidRPr="00484C65">
        <w:rPr>
          <w:rFonts w:ascii="Verdana" w:eastAsia="Times New Roman" w:hAnsi="Verdana" w:cs="Times New Roman"/>
          <w:shd w:val="clear" w:color="auto" w:fill="FFFFFF"/>
        </w:rPr>
        <w:lastRenderedPageBreak/>
        <w:t xml:space="preserve">However, if such accommodation is provided then </w:t>
      </w:r>
      <w:r w:rsidRPr="00484C65">
        <w:rPr>
          <w:rFonts w:ascii="Verdana" w:eastAsia="Times New Roman" w:hAnsi="Verdana" w:cs="Times New Roman"/>
          <w:b/>
          <w:bCs/>
          <w:shd w:val="clear" w:color="auto" w:fill="FFFFFF"/>
        </w:rPr>
        <w:t xml:space="preserve">specific conditions </w:t>
      </w:r>
      <w:r w:rsidRPr="00484C65">
        <w:rPr>
          <w:rFonts w:ascii="Verdana" w:eastAsia="Times New Roman" w:hAnsi="Verdana" w:cs="Times New Roman"/>
          <w:shd w:val="clear" w:color="auto" w:fill="FFFFFF"/>
        </w:rPr>
        <w:t xml:space="preserve">should be imposed to ensure it is used only for the intended purpose.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 xml:space="preserve">The apart-hotel should be subject to conditions that: </w:t>
      </w:r>
    </w:p>
    <w:p w:rsidR="00484C65" w:rsidRPr="00484C65" w:rsidRDefault="00484C65" w:rsidP="00484C65">
      <w:pPr>
        <w:numPr>
          <w:ilvl w:val="0"/>
          <w:numId w:val="5"/>
        </w:num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 xml:space="preserve">the building can be used as a hotel (C1) only </w:t>
      </w:r>
    </w:p>
    <w:p w:rsidR="00484C65" w:rsidRPr="00484C65" w:rsidRDefault="00484C65" w:rsidP="00484C65">
      <w:pPr>
        <w:numPr>
          <w:ilvl w:val="0"/>
          <w:numId w:val="5"/>
        </w:num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 xml:space="preserve">the maximum length of stay is specifically restricted e.g. to 42 days </w:t>
      </w:r>
      <w:r w:rsidRPr="00484C65">
        <w:rPr>
          <w:rFonts w:ascii="Verdana" w:eastAsia="Times New Roman" w:hAnsi="Verdana" w:cs="Times New Roman"/>
        </w:rPr>
        <w:t xml:space="preserve">and </w:t>
      </w:r>
    </w:p>
    <w:p w:rsidR="00484C65" w:rsidRPr="00484C65" w:rsidRDefault="00484C65" w:rsidP="00484C65">
      <w:pPr>
        <w:numPr>
          <w:ilvl w:val="0"/>
          <w:numId w:val="5"/>
        </w:num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 xml:space="preserve">permanent residence is prohibited.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 xml:space="preserve">In order that compliance with these conditions can be monitored, a register of guests should be required and provided to the council on request.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 xml:space="preserve">For the co-living accommodation, conditions should be imposed that: </w:t>
      </w:r>
    </w:p>
    <w:p w:rsidR="00484C65" w:rsidRDefault="00484C65" w:rsidP="00484C65">
      <w:pPr>
        <w:numPr>
          <w:ilvl w:val="0"/>
          <w:numId w:val="5"/>
        </w:numPr>
        <w:spacing w:before="100" w:beforeAutospacing="1" w:after="100" w:afterAutospacing="1" w:line="276" w:lineRule="auto"/>
        <w:rPr>
          <w:rFonts w:ascii="Verdana" w:eastAsia="Times New Roman" w:hAnsi="Verdana" w:cs="Times New Roman"/>
          <w:shd w:val="clear" w:color="auto" w:fill="FFFFFF"/>
        </w:rPr>
      </w:pPr>
      <w:r w:rsidRPr="00484C65">
        <w:rPr>
          <w:rFonts w:ascii="Verdana" w:eastAsia="Times New Roman" w:hAnsi="Verdana" w:cs="Times New Roman"/>
          <w:shd w:val="clear" w:color="auto" w:fill="FFFFFF"/>
        </w:rPr>
        <w:t>require a minimum tenancy length (e.g. three months)</w:t>
      </w:r>
    </w:p>
    <w:p w:rsidR="00484C65" w:rsidRDefault="00484C65" w:rsidP="00484C65">
      <w:pPr>
        <w:numPr>
          <w:ilvl w:val="0"/>
          <w:numId w:val="5"/>
        </w:numPr>
        <w:spacing w:before="100" w:beforeAutospacing="1" w:after="100" w:afterAutospacing="1" w:line="276" w:lineRule="auto"/>
        <w:rPr>
          <w:rFonts w:ascii="Verdana" w:eastAsia="Times New Roman" w:hAnsi="Verdana" w:cs="Times New Roman"/>
          <w:shd w:val="clear" w:color="auto" w:fill="FFFFFF"/>
        </w:rPr>
      </w:pPr>
      <w:r w:rsidRPr="00484C65">
        <w:rPr>
          <w:rFonts w:ascii="Verdana" w:eastAsia="Times New Roman" w:hAnsi="Verdana" w:cs="Times New Roman"/>
          <w:shd w:val="clear" w:color="auto" w:fill="FFFFFF"/>
        </w:rPr>
        <w:t xml:space="preserve">stipulate a maximum occupancy per room and </w:t>
      </w:r>
    </w:p>
    <w:p w:rsidR="00484C65" w:rsidRPr="00484C65" w:rsidRDefault="00484C65" w:rsidP="00484C65">
      <w:pPr>
        <w:numPr>
          <w:ilvl w:val="0"/>
          <w:numId w:val="5"/>
        </w:numPr>
        <w:spacing w:before="100" w:beforeAutospacing="1" w:after="100" w:afterAutospacing="1" w:line="276" w:lineRule="auto"/>
        <w:rPr>
          <w:rFonts w:ascii="Verdana" w:eastAsia="Times New Roman" w:hAnsi="Verdana" w:cs="Times New Roman"/>
          <w:shd w:val="clear" w:color="auto" w:fill="FFFFFF"/>
        </w:rPr>
      </w:pPr>
      <w:r w:rsidRPr="00484C65">
        <w:rPr>
          <w:rFonts w:ascii="Verdana" w:eastAsia="Times New Roman" w:hAnsi="Verdana" w:cs="Times New Roman"/>
          <w:shd w:val="clear" w:color="auto" w:fill="FFFFFF"/>
        </w:rPr>
        <w:t xml:space="preserve">prohibit short-term letting.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 xml:space="preserve">An agreement allowing the council access to the apart-hotel and co-living block to verify that these conditions are being observed should be signed by Britannia Heights Freehold in advance of any planning permission being granted.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 xml:space="preserve">The </w:t>
      </w:r>
      <w:r w:rsidRPr="00484C65">
        <w:rPr>
          <w:rFonts w:ascii="Verdana" w:eastAsia="Times New Roman" w:hAnsi="Verdana" w:cs="Times New Roman"/>
          <w:b/>
          <w:bCs/>
          <w:shd w:val="clear" w:color="auto" w:fill="FFFFFF"/>
        </w:rPr>
        <w:t xml:space="preserve">Section 106 agreement </w:t>
      </w:r>
      <w:r w:rsidRPr="00484C65">
        <w:rPr>
          <w:rFonts w:ascii="Verdana" w:eastAsia="Times New Roman" w:hAnsi="Verdana" w:cs="Times New Roman"/>
          <w:shd w:val="clear" w:color="auto" w:fill="FFFFFF"/>
        </w:rPr>
        <w:t xml:space="preserve">must be locked down and watertight before any planning permission takes effect. Furthermore, the delivery of planning obligations (e.g. on infrastructure, public realm improvements, off-site affordable housing and financial contributions) should be front- loaded to ensure the developer cannot renege on them at later stages in the development. Given the developer’s track record of trying to slip out of </w:t>
      </w:r>
      <w:proofErr w:type="spellStart"/>
      <w:proofErr w:type="gramStart"/>
      <w:r w:rsidRPr="00484C65">
        <w:rPr>
          <w:rFonts w:ascii="Verdana" w:eastAsia="Times New Roman" w:hAnsi="Verdana" w:cs="Times New Roman"/>
          <w:shd w:val="clear" w:color="auto" w:fill="FFFFFF"/>
        </w:rPr>
        <w:t>it’s</w:t>
      </w:r>
      <w:proofErr w:type="spellEnd"/>
      <w:proofErr w:type="gramEnd"/>
      <w:r w:rsidRPr="00484C65">
        <w:rPr>
          <w:rFonts w:ascii="Verdana" w:eastAsia="Times New Roman" w:hAnsi="Verdana" w:cs="Times New Roman"/>
          <w:shd w:val="clear" w:color="auto" w:fill="FFFFFF"/>
        </w:rPr>
        <w:t xml:space="preserve"> legal obligations, the agreement should be written in such a way as to ensure that, this time, they are delivered. Since Criterion values the generation of money above all else, the agreement should stipulate that occupancy of any of the properties will only be permitted once all s106 obligations have been met.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shd w:val="clear" w:color="auto" w:fill="FFFFFF"/>
        </w:rPr>
        <w:t xml:space="preserve">There is one obligation in particular that CWRA believes should be placed on the developer. The area between Colliers Wood tube and Britannia Point is bleak and lacking in greenery. Given the increase in passenger usage that the proposed development would generate, we believe the developer should be required to make this area a more welcoming and </w:t>
      </w:r>
      <w:r w:rsidRPr="00484C65">
        <w:rPr>
          <w:rFonts w:ascii="Verdana" w:eastAsia="Times New Roman" w:hAnsi="Verdana" w:cs="Times New Roman"/>
          <w:shd w:val="clear" w:color="auto" w:fill="FFFFFF"/>
        </w:rPr>
        <w:lastRenderedPageBreak/>
        <w:t xml:space="preserve">environmentally rich site through appropriately-designed “urban greening”. </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rPr>
        <w:t xml:space="preserve">If the council has any doubts about its ability to enforce the legal agreements, planning conditions or s106 obligations associated with the scheme, Criterion Capital should be required to post a bond before any planning permission takes effect. This will give Criterion a keen interest in ensuring that planning requirements are met (rather than shuffling responsibility onto sub-contractors) and will provide the council with access to funds to arrange the delivery of these planning requirements if the developer fails to do so. </w:t>
      </w:r>
    </w:p>
    <w:p w:rsidR="00484C65" w:rsidRDefault="00484C65" w:rsidP="00484C65">
      <w:pPr>
        <w:spacing w:before="100" w:beforeAutospacing="1" w:after="100" w:afterAutospacing="1" w:line="276" w:lineRule="auto"/>
        <w:rPr>
          <w:rFonts w:ascii="Verdana" w:eastAsia="Times New Roman" w:hAnsi="Verdana" w:cs="Times New Roman"/>
          <w:b/>
          <w:bCs/>
          <w:shd w:val="clear" w:color="auto" w:fill="FFFFFF"/>
        </w:rPr>
      </w:pPr>
      <w:r w:rsidRPr="00484C65">
        <w:rPr>
          <w:rFonts w:ascii="Verdana" w:eastAsia="Times New Roman" w:hAnsi="Verdana" w:cs="Times New Roman"/>
          <w:b/>
          <w:bCs/>
          <w:shd w:val="clear" w:color="auto" w:fill="FFFFFF"/>
        </w:rPr>
        <w:t>Colliers Wood Residents’ Association</w:t>
      </w:r>
    </w:p>
    <w:p w:rsidR="00484C65" w:rsidRPr="00484C65" w:rsidRDefault="00484C65" w:rsidP="00484C65">
      <w:pPr>
        <w:spacing w:before="100" w:beforeAutospacing="1" w:after="100" w:afterAutospacing="1" w:line="276" w:lineRule="auto"/>
        <w:rPr>
          <w:rFonts w:ascii="Times New Roman" w:eastAsia="Times New Roman" w:hAnsi="Times New Roman" w:cs="Times New Roman"/>
        </w:rPr>
      </w:pPr>
      <w:r w:rsidRPr="00484C65">
        <w:rPr>
          <w:rFonts w:ascii="Verdana" w:eastAsia="Times New Roman" w:hAnsi="Verdana" w:cs="Times New Roman"/>
          <w:b/>
          <w:bCs/>
          <w:shd w:val="clear" w:color="auto" w:fill="FFFFFF"/>
        </w:rPr>
        <w:t>16</w:t>
      </w:r>
      <w:proofErr w:type="spellStart"/>
      <w:r w:rsidRPr="00484C65">
        <w:rPr>
          <w:rFonts w:ascii="Verdana" w:eastAsia="Times New Roman" w:hAnsi="Verdana" w:cs="Times New Roman"/>
          <w:b/>
          <w:bCs/>
          <w:position w:val="8"/>
          <w:sz w:val="16"/>
          <w:szCs w:val="16"/>
          <w:shd w:val="clear" w:color="auto" w:fill="FFFFFF"/>
        </w:rPr>
        <w:t>th</w:t>
      </w:r>
      <w:proofErr w:type="spellEnd"/>
      <w:r w:rsidRPr="00484C65">
        <w:rPr>
          <w:rFonts w:ascii="Verdana" w:eastAsia="Times New Roman" w:hAnsi="Verdana" w:cs="Times New Roman"/>
          <w:b/>
          <w:bCs/>
          <w:position w:val="8"/>
          <w:sz w:val="16"/>
          <w:szCs w:val="16"/>
          <w:shd w:val="clear" w:color="auto" w:fill="FFFFFF"/>
        </w:rPr>
        <w:t xml:space="preserve"> </w:t>
      </w:r>
      <w:r w:rsidRPr="00484C65">
        <w:rPr>
          <w:rFonts w:ascii="Verdana" w:eastAsia="Times New Roman" w:hAnsi="Verdana" w:cs="Times New Roman"/>
          <w:b/>
          <w:bCs/>
          <w:shd w:val="clear" w:color="auto" w:fill="FFFFFF"/>
        </w:rPr>
        <w:t xml:space="preserve">March 2026 </w:t>
      </w:r>
    </w:p>
    <w:p w:rsidR="00A15C20" w:rsidRDefault="00A15C20" w:rsidP="00484C65">
      <w:pPr>
        <w:spacing w:line="276" w:lineRule="auto"/>
      </w:pPr>
    </w:p>
    <w:sectPr w:rsidR="00A15C20" w:rsidSect="00750FEE">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C1C" w:rsidRDefault="00832C1C" w:rsidP="00484C65">
      <w:r>
        <w:separator/>
      </w:r>
    </w:p>
  </w:endnote>
  <w:endnote w:type="continuationSeparator" w:id="0">
    <w:p w:rsidR="00832C1C" w:rsidRDefault="00832C1C" w:rsidP="0048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65" w:rsidRDefault="00484C65">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rsidR="00484C65" w:rsidRDefault="00484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C1C" w:rsidRDefault="00832C1C" w:rsidP="00484C65">
      <w:r>
        <w:separator/>
      </w:r>
    </w:p>
  </w:footnote>
  <w:footnote w:type="continuationSeparator" w:id="0">
    <w:p w:rsidR="00832C1C" w:rsidRDefault="00832C1C" w:rsidP="00484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63FB6"/>
    <w:multiLevelType w:val="multilevel"/>
    <w:tmpl w:val="F434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27480"/>
    <w:multiLevelType w:val="multilevel"/>
    <w:tmpl w:val="6AA8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45685"/>
    <w:multiLevelType w:val="multilevel"/>
    <w:tmpl w:val="DA6A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F67D6"/>
    <w:multiLevelType w:val="hybridMultilevel"/>
    <w:tmpl w:val="7C66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362EB"/>
    <w:multiLevelType w:val="multilevel"/>
    <w:tmpl w:val="563A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1B3C6E"/>
    <w:multiLevelType w:val="hybridMultilevel"/>
    <w:tmpl w:val="02A846A8"/>
    <w:lvl w:ilvl="0" w:tplc="C58032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0126C"/>
    <w:multiLevelType w:val="multilevel"/>
    <w:tmpl w:val="BD68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5EC9"/>
    <w:multiLevelType w:val="multilevel"/>
    <w:tmpl w:val="1254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2"/>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65"/>
    <w:rsid w:val="00484C65"/>
    <w:rsid w:val="00750FEE"/>
    <w:rsid w:val="00792029"/>
    <w:rsid w:val="00832C1C"/>
    <w:rsid w:val="00A15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0F2CF5"/>
  <w15:chartTrackingRefBased/>
  <w15:docId w15:val="{EECD30DA-04FB-7D4C-8FDF-BD605C25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4C6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84C65"/>
    <w:pPr>
      <w:ind w:left="720"/>
      <w:contextualSpacing/>
    </w:pPr>
  </w:style>
  <w:style w:type="paragraph" w:styleId="Header">
    <w:name w:val="header"/>
    <w:basedOn w:val="Normal"/>
    <w:link w:val="HeaderChar"/>
    <w:uiPriority w:val="99"/>
    <w:unhideWhenUsed/>
    <w:rsid w:val="00484C65"/>
    <w:pPr>
      <w:tabs>
        <w:tab w:val="center" w:pos="4680"/>
        <w:tab w:val="right" w:pos="9360"/>
      </w:tabs>
    </w:pPr>
  </w:style>
  <w:style w:type="character" w:customStyle="1" w:styleId="HeaderChar">
    <w:name w:val="Header Char"/>
    <w:basedOn w:val="DefaultParagraphFont"/>
    <w:link w:val="Header"/>
    <w:uiPriority w:val="99"/>
    <w:rsid w:val="00484C65"/>
  </w:style>
  <w:style w:type="paragraph" w:styleId="Footer">
    <w:name w:val="footer"/>
    <w:basedOn w:val="Normal"/>
    <w:link w:val="FooterChar"/>
    <w:uiPriority w:val="99"/>
    <w:unhideWhenUsed/>
    <w:rsid w:val="00484C65"/>
    <w:pPr>
      <w:tabs>
        <w:tab w:val="center" w:pos="4680"/>
        <w:tab w:val="right" w:pos="9360"/>
      </w:tabs>
    </w:pPr>
  </w:style>
  <w:style w:type="character" w:customStyle="1" w:styleId="FooterChar">
    <w:name w:val="Footer Char"/>
    <w:basedOn w:val="DefaultParagraphFont"/>
    <w:link w:val="Footer"/>
    <w:uiPriority w:val="99"/>
    <w:rsid w:val="00484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046670">
      <w:bodyDiv w:val="1"/>
      <w:marLeft w:val="0"/>
      <w:marRight w:val="0"/>
      <w:marTop w:val="0"/>
      <w:marBottom w:val="0"/>
      <w:divBdr>
        <w:top w:val="none" w:sz="0" w:space="0" w:color="auto"/>
        <w:left w:val="none" w:sz="0" w:space="0" w:color="auto"/>
        <w:bottom w:val="none" w:sz="0" w:space="0" w:color="auto"/>
        <w:right w:val="none" w:sz="0" w:space="0" w:color="auto"/>
      </w:divBdr>
      <w:divsChild>
        <w:div w:id="656420562">
          <w:marLeft w:val="0"/>
          <w:marRight w:val="0"/>
          <w:marTop w:val="0"/>
          <w:marBottom w:val="0"/>
          <w:divBdr>
            <w:top w:val="none" w:sz="0" w:space="0" w:color="auto"/>
            <w:left w:val="none" w:sz="0" w:space="0" w:color="auto"/>
            <w:bottom w:val="none" w:sz="0" w:space="0" w:color="auto"/>
            <w:right w:val="none" w:sz="0" w:space="0" w:color="auto"/>
          </w:divBdr>
          <w:divsChild>
            <w:div w:id="1475024367">
              <w:marLeft w:val="0"/>
              <w:marRight w:val="0"/>
              <w:marTop w:val="0"/>
              <w:marBottom w:val="0"/>
              <w:divBdr>
                <w:top w:val="none" w:sz="0" w:space="0" w:color="auto"/>
                <w:left w:val="none" w:sz="0" w:space="0" w:color="auto"/>
                <w:bottom w:val="none" w:sz="0" w:space="0" w:color="auto"/>
                <w:right w:val="none" w:sz="0" w:space="0" w:color="auto"/>
              </w:divBdr>
              <w:divsChild>
                <w:div w:id="802502235">
                  <w:marLeft w:val="0"/>
                  <w:marRight w:val="0"/>
                  <w:marTop w:val="0"/>
                  <w:marBottom w:val="0"/>
                  <w:divBdr>
                    <w:top w:val="none" w:sz="0" w:space="0" w:color="auto"/>
                    <w:left w:val="none" w:sz="0" w:space="0" w:color="auto"/>
                    <w:bottom w:val="none" w:sz="0" w:space="0" w:color="auto"/>
                    <w:right w:val="none" w:sz="0" w:space="0" w:color="auto"/>
                  </w:divBdr>
                </w:div>
              </w:divsChild>
            </w:div>
            <w:div w:id="2109427585">
              <w:marLeft w:val="0"/>
              <w:marRight w:val="0"/>
              <w:marTop w:val="0"/>
              <w:marBottom w:val="0"/>
              <w:divBdr>
                <w:top w:val="none" w:sz="0" w:space="0" w:color="auto"/>
                <w:left w:val="none" w:sz="0" w:space="0" w:color="auto"/>
                <w:bottom w:val="none" w:sz="0" w:space="0" w:color="auto"/>
                <w:right w:val="none" w:sz="0" w:space="0" w:color="auto"/>
              </w:divBdr>
              <w:divsChild>
                <w:div w:id="21434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3423">
          <w:marLeft w:val="0"/>
          <w:marRight w:val="0"/>
          <w:marTop w:val="0"/>
          <w:marBottom w:val="0"/>
          <w:divBdr>
            <w:top w:val="none" w:sz="0" w:space="0" w:color="auto"/>
            <w:left w:val="none" w:sz="0" w:space="0" w:color="auto"/>
            <w:bottom w:val="none" w:sz="0" w:space="0" w:color="auto"/>
            <w:right w:val="none" w:sz="0" w:space="0" w:color="auto"/>
          </w:divBdr>
          <w:divsChild>
            <w:div w:id="1057823482">
              <w:marLeft w:val="0"/>
              <w:marRight w:val="0"/>
              <w:marTop w:val="0"/>
              <w:marBottom w:val="0"/>
              <w:divBdr>
                <w:top w:val="none" w:sz="0" w:space="0" w:color="auto"/>
                <w:left w:val="none" w:sz="0" w:space="0" w:color="auto"/>
                <w:bottom w:val="none" w:sz="0" w:space="0" w:color="auto"/>
                <w:right w:val="none" w:sz="0" w:space="0" w:color="auto"/>
              </w:divBdr>
              <w:divsChild>
                <w:div w:id="1601571672">
                  <w:marLeft w:val="0"/>
                  <w:marRight w:val="0"/>
                  <w:marTop w:val="0"/>
                  <w:marBottom w:val="0"/>
                  <w:divBdr>
                    <w:top w:val="none" w:sz="0" w:space="0" w:color="auto"/>
                    <w:left w:val="none" w:sz="0" w:space="0" w:color="auto"/>
                    <w:bottom w:val="none" w:sz="0" w:space="0" w:color="auto"/>
                    <w:right w:val="none" w:sz="0" w:space="0" w:color="auto"/>
                  </w:divBdr>
                </w:div>
              </w:divsChild>
            </w:div>
            <w:div w:id="1077439020">
              <w:marLeft w:val="0"/>
              <w:marRight w:val="0"/>
              <w:marTop w:val="0"/>
              <w:marBottom w:val="0"/>
              <w:divBdr>
                <w:top w:val="none" w:sz="0" w:space="0" w:color="auto"/>
                <w:left w:val="none" w:sz="0" w:space="0" w:color="auto"/>
                <w:bottom w:val="none" w:sz="0" w:space="0" w:color="auto"/>
                <w:right w:val="none" w:sz="0" w:space="0" w:color="auto"/>
              </w:divBdr>
              <w:divsChild>
                <w:div w:id="19285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9967">
          <w:marLeft w:val="0"/>
          <w:marRight w:val="0"/>
          <w:marTop w:val="0"/>
          <w:marBottom w:val="0"/>
          <w:divBdr>
            <w:top w:val="none" w:sz="0" w:space="0" w:color="auto"/>
            <w:left w:val="none" w:sz="0" w:space="0" w:color="auto"/>
            <w:bottom w:val="none" w:sz="0" w:space="0" w:color="auto"/>
            <w:right w:val="none" w:sz="0" w:space="0" w:color="auto"/>
          </w:divBdr>
          <w:divsChild>
            <w:div w:id="2064254352">
              <w:marLeft w:val="0"/>
              <w:marRight w:val="0"/>
              <w:marTop w:val="0"/>
              <w:marBottom w:val="0"/>
              <w:divBdr>
                <w:top w:val="none" w:sz="0" w:space="0" w:color="auto"/>
                <w:left w:val="none" w:sz="0" w:space="0" w:color="auto"/>
                <w:bottom w:val="none" w:sz="0" w:space="0" w:color="auto"/>
                <w:right w:val="none" w:sz="0" w:space="0" w:color="auto"/>
              </w:divBdr>
              <w:divsChild>
                <w:div w:id="950672986">
                  <w:marLeft w:val="0"/>
                  <w:marRight w:val="0"/>
                  <w:marTop w:val="0"/>
                  <w:marBottom w:val="0"/>
                  <w:divBdr>
                    <w:top w:val="none" w:sz="0" w:space="0" w:color="auto"/>
                    <w:left w:val="none" w:sz="0" w:space="0" w:color="auto"/>
                    <w:bottom w:val="none" w:sz="0" w:space="0" w:color="auto"/>
                    <w:right w:val="none" w:sz="0" w:space="0" w:color="auto"/>
                  </w:divBdr>
                </w:div>
              </w:divsChild>
            </w:div>
            <w:div w:id="665943176">
              <w:marLeft w:val="0"/>
              <w:marRight w:val="0"/>
              <w:marTop w:val="0"/>
              <w:marBottom w:val="0"/>
              <w:divBdr>
                <w:top w:val="none" w:sz="0" w:space="0" w:color="auto"/>
                <w:left w:val="none" w:sz="0" w:space="0" w:color="auto"/>
                <w:bottom w:val="none" w:sz="0" w:space="0" w:color="auto"/>
                <w:right w:val="none" w:sz="0" w:space="0" w:color="auto"/>
              </w:divBdr>
              <w:divsChild>
                <w:div w:id="20142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1538">
          <w:marLeft w:val="0"/>
          <w:marRight w:val="0"/>
          <w:marTop w:val="0"/>
          <w:marBottom w:val="0"/>
          <w:divBdr>
            <w:top w:val="none" w:sz="0" w:space="0" w:color="auto"/>
            <w:left w:val="none" w:sz="0" w:space="0" w:color="auto"/>
            <w:bottom w:val="none" w:sz="0" w:space="0" w:color="auto"/>
            <w:right w:val="none" w:sz="0" w:space="0" w:color="auto"/>
          </w:divBdr>
          <w:divsChild>
            <w:div w:id="703095441">
              <w:marLeft w:val="0"/>
              <w:marRight w:val="0"/>
              <w:marTop w:val="0"/>
              <w:marBottom w:val="0"/>
              <w:divBdr>
                <w:top w:val="none" w:sz="0" w:space="0" w:color="auto"/>
                <w:left w:val="none" w:sz="0" w:space="0" w:color="auto"/>
                <w:bottom w:val="none" w:sz="0" w:space="0" w:color="auto"/>
                <w:right w:val="none" w:sz="0" w:space="0" w:color="auto"/>
              </w:divBdr>
              <w:divsChild>
                <w:div w:id="1493258997">
                  <w:marLeft w:val="0"/>
                  <w:marRight w:val="0"/>
                  <w:marTop w:val="0"/>
                  <w:marBottom w:val="0"/>
                  <w:divBdr>
                    <w:top w:val="none" w:sz="0" w:space="0" w:color="auto"/>
                    <w:left w:val="none" w:sz="0" w:space="0" w:color="auto"/>
                    <w:bottom w:val="none" w:sz="0" w:space="0" w:color="auto"/>
                    <w:right w:val="none" w:sz="0" w:space="0" w:color="auto"/>
                  </w:divBdr>
                </w:div>
              </w:divsChild>
            </w:div>
            <w:div w:id="622229725">
              <w:marLeft w:val="0"/>
              <w:marRight w:val="0"/>
              <w:marTop w:val="0"/>
              <w:marBottom w:val="0"/>
              <w:divBdr>
                <w:top w:val="none" w:sz="0" w:space="0" w:color="auto"/>
                <w:left w:val="none" w:sz="0" w:space="0" w:color="auto"/>
                <w:bottom w:val="none" w:sz="0" w:space="0" w:color="auto"/>
                <w:right w:val="none" w:sz="0" w:space="0" w:color="auto"/>
              </w:divBdr>
              <w:divsChild>
                <w:div w:id="4760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4630">
          <w:marLeft w:val="0"/>
          <w:marRight w:val="0"/>
          <w:marTop w:val="0"/>
          <w:marBottom w:val="0"/>
          <w:divBdr>
            <w:top w:val="none" w:sz="0" w:space="0" w:color="auto"/>
            <w:left w:val="none" w:sz="0" w:space="0" w:color="auto"/>
            <w:bottom w:val="none" w:sz="0" w:space="0" w:color="auto"/>
            <w:right w:val="none" w:sz="0" w:space="0" w:color="auto"/>
          </w:divBdr>
          <w:divsChild>
            <w:div w:id="659507507">
              <w:marLeft w:val="0"/>
              <w:marRight w:val="0"/>
              <w:marTop w:val="0"/>
              <w:marBottom w:val="0"/>
              <w:divBdr>
                <w:top w:val="none" w:sz="0" w:space="0" w:color="auto"/>
                <w:left w:val="none" w:sz="0" w:space="0" w:color="auto"/>
                <w:bottom w:val="none" w:sz="0" w:space="0" w:color="auto"/>
                <w:right w:val="none" w:sz="0" w:space="0" w:color="auto"/>
              </w:divBdr>
              <w:divsChild>
                <w:div w:id="1171457342">
                  <w:marLeft w:val="0"/>
                  <w:marRight w:val="0"/>
                  <w:marTop w:val="0"/>
                  <w:marBottom w:val="0"/>
                  <w:divBdr>
                    <w:top w:val="none" w:sz="0" w:space="0" w:color="auto"/>
                    <w:left w:val="none" w:sz="0" w:space="0" w:color="auto"/>
                    <w:bottom w:val="none" w:sz="0" w:space="0" w:color="auto"/>
                    <w:right w:val="none" w:sz="0" w:space="0" w:color="auto"/>
                  </w:divBdr>
                </w:div>
              </w:divsChild>
            </w:div>
            <w:div w:id="1218858223">
              <w:marLeft w:val="0"/>
              <w:marRight w:val="0"/>
              <w:marTop w:val="0"/>
              <w:marBottom w:val="0"/>
              <w:divBdr>
                <w:top w:val="none" w:sz="0" w:space="0" w:color="auto"/>
                <w:left w:val="none" w:sz="0" w:space="0" w:color="auto"/>
                <w:bottom w:val="none" w:sz="0" w:space="0" w:color="auto"/>
                <w:right w:val="none" w:sz="0" w:space="0" w:color="auto"/>
              </w:divBdr>
              <w:divsChild>
                <w:div w:id="15062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49865">
          <w:marLeft w:val="0"/>
          <w:marRight w:val="0"/>
          <w:marTop w:val="0"/>
          <w:marBottom w:val="0"/>
          <w:divBdr>
            <w:top w:val="none" w:sz="0" w:space="0" w:color="auto"/>
            <w:left w:val="none" w:sz="0" w:space="0" w:color="auto"/>
            <w:bottom w:val="none" w:sz="0" w:space="0" w:color="auto"/>
            <w:right w:val="none" w:sz="0" w:space="0" w:color="auto"/>
          </w:divBdr>
          <w:divsChild>
            <w:div w:id="1889682605">
              <w:marLeft w:val="0"/>
              <w:marRight w:val="0"/>
              <w:marTop w:val="0"/>
              <w:marBottom w:val="0"/>
              <w:divBdr>
                <w:top w:val="none" w:sz="0" w:space="0" w:color="auto"/>
                <w:left w:val="none" w:sz="0" w:space="0" w:color="auto"/>
                <w:bottom w:val="none" w:sz="0" w:space="0" w:color="auto"/>
                <w:right w:val="none" w:sz="0" w:space="0" w:color="auto"/>
              </w:divBdr>
              <w:divsChild>
                <w:div w:id="243340973">
                  <w:marLeft w:val="0"/>
                  <w:marRight w:val="0"/>
                  <w:marTop w:val="0"/>
                  <w:marBottom w:val="0"/>
                  <w:divBdr>
                    <w:top w:val="none" w:sz="0" w:space="0" w:color="auto"/>
                    <w:left w:val="none" w:sz="0" w:space="0" w:color="auto"/>
                    <w:bottom w:val="none" w:sz="0" w:space="0" w:color="auto"/>
                    <w:right w:val="none" w:sz="0" w:space="0" w:color="auto"/>
                  </w:divBdr>
                </w:div>
              </w:divsChild>
            </w:div>
            <w:div w:id="942104568">
              <w:marLeft w:val="0"/>
              <w:marRight w:val="0"/>
              <w:marTop w:val="0"/>
              <w:marBottom w:val="0"/>
              <w:divBdr>
                <w:top w:val="none" w:sz="0" w:space="0" w:color="auto"/>
                <w:left w:val="none" w:sz="0" w:space="0" w:color="auto"/>
                <w:bottom w:val="none" w:sz="0" w:space="0" w:color="auto"/>
                <w:right w:val="none" w:sz="0" w:space="0" w:color="auto"/>
              </w:divBdr>
              <w:divsChild>
                <w:div w:id="11799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52042">
          <w:marLeft w:val="0"/>
          <w:marRight w:val="0"/>
          <w:marTop w:val="0"/>
          <w:marBottom w:val="0"/>
          <w:divBdr>
            <w:top w:val="none" w:sz="0" w:space="0" w:color="auto"/>
            <w:left w:val="none" w:sz="0" w:space="0" w:color="auto"/>
            <w:bottom w:val="none" w:sz="0" w:space="0" w:color="auto"/>
            <w:right w:val="none" w:sz="0" w:space="0" w:color="auto"/>
          </w:divBdr>
          <w:divsChild>
            <w:div w:id="1485315306">
              <w:marLeft w:val="0"/>
              <w:marRight w:val="0"/>
              <w:marTop w:val="0"/>
              <w:marBottom w:val="0"/>
              <w:divBdr>
                <w:top w:val="none" w:sz="0" w:space="0" w:color="auto"/>
                <w:left w:val="none" w:sz="0" w:space="0" w:color="auto"/>
                <w:bottom w:val="none" w:sz="0" w:space="0" w:color="auto"/>
                <w:right w:val="none" w:sz="0" w:space="0" w:color="auto"/>
              </w:divBdr>
              <w:divsChild>
                <w:div w:id="743602487">
                  <w:marLeft w:val="0"/>
                  <w:marRight w:val="0"/>
                  <w:marTop w:val="0"/>
                  <w:marBottom w:val="0"/>
                  <w:divBdr>
                    <w:top w:val="none" w:sz="0" w:space="0" w:color="auto"/>
                    <w:left w:val="none" w:sz="0" w:space="0" w:color="auto"/>
                    <w:bottom w:val="none" w:sz="0" w:space="0" w:color="auto"/>
                    <w:right w:val="none" w:sz="0" w:space="0" w:color="auto"/>
                  </w:divBdr>
                </w:div>
              </w:divsChild>
            </w:div>
            <w:div w:id="1876308450">
              <w:marLeft w:val="0"/>
              <w:marRight w:val="0"/>
              <w:marTop w:val="0"/>
              <w:marBottom w:val="0"/>
              <w:divBdr>
                <w:top w:val="none" w:sz="0" w:space="0" w:color="auto"/>
                <w:left w:val="none" w:sz="0" w:space="0" w:color="auto"/>
                <w:bottom w:val="none" w:sz="0" w:space="0" w:color="auto"/>
                <w:right w:val="none" w:sz="0" w:space="0" w:color="auto"/>
              </w:divBdr>
              <w:divsChild>
                <w:div w:id="119904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7108">
          <w:marLeft w:val="0"/>
          <w:marRight w:val="0"/>
          <w:marTop w:val="0"/>
          <w:marBottom w:val="0"/>
          <w:divBdr>
            <w:top w:val="none" w:sz="0" w:space="0" w:color="auto"/>
            <w:left w:val="none" w:sz="0" w:space="0" w:color="auto"/>
            <w:bottom w:val="none" w:sz="0" w:space="0" w:color="auto"/>
            <w:right w:val="none" w:sz="0" w:space="0" w:color="auto"/>
          </w:divBdr>
          <w:divsChild>
            <w:div w:id="501237611">
              <w:marLeft w:val="0"/>
              <w:marRight w:val="0"/>
              <w:marTop w:val="0"/>
              <w:marBottom w:val="0"/>
              <w:divBdr>
                <w:top w:val="none" w:sz="0" w:space="0" w:color="auto"/>
                <w:left w:val="none" w:sz="0" w:space="0" w:color="auto"/>
                <w:bottom w:val="none" w:sz="0" w:space="0" w:color="auto"/>
                <w:right w:val="none" w:sz="0" w:space="0" w:color="auto"/>
              </w:divBdr>
              <w:divsChild>
                <w:div w:id="1636570277">
                  <w:marLeft w:val="0"/>
                  <w:marRight w:val="0"/>
                  <w:marTop w:val="0"/>
                  <w:marBottom w:val="0"/>
                  <w:divBdr>
                    <w:top w:val="none" w:sz="0" w:space="0" w:color="auto"/>
                    <w:left w:val="none" w:sz="0" w:space="0" w:color="auto"/>
                    <w:bottom w:val="none" w:sz="0" w:space="0" w:color="auto"/>
                    <w:right w:val="none" w:sz="0" w:space="0" w:color="auto"/>
                  </w:divBdr>
                </w:div>
              </w:divsChild>
            </w:div>
            <w:div w:id="1361007141">
              <w:marLeft w:val="0"/>
              <w:marRight w:val="0"/>
              <w:marTop w:val="0"/>
              <w:marBottom w:val="0"/>
              <w:divBdr>
                <w:top w:val="none" w:sz="0" w:space="0" w:color="auto"/>
                <w:left w:val="none" w:sz="0" w:space="0" w:color="auto"/>
                <w:bottom w:val="none" w:sz="0" w:space="0" w:color="auto"/>
                <w:right w:val="none" w:sz="0" w:space="0" w:color="auto"/>
              </w:divBdr>
              <w:divsChild>
                <w:div w:id="1577281165">
                  <w:marLeft w:val="0"/>
                  <w:marRight w:val="0"/>
                  <w:marTop w:val="0"/>
                  <w:marBottom w:val="0"/>
                  <w:divBdr>
                    <w:top w:val="none" w:sz="0" w:space="0" w:color="auto"/>
                    <w:left w:val="none" w:sz="0" w:space="0" w:color="auto"/>
                    <w:bottom w:val="none" w:sz="0" w:space="0" w:color="auto"/>
                    <w:right w:val="none" w:sz="0" w:space="0" w:color="auto"/>
                  </w:divBdr>
                </w:div>
              </w:divsChild>
            </w:div>
            <w:div w:id="948513118">
              <w:marLeft w:val="0"/>
              <w:marRight w:val="0"/>
              <w:marTop w:val="0"/>
              <w:marBottom w:val="0"/>
              <w:divBdr>
                <w:top w:val="none" w:sz="0" w:space="0" w:color="auto"/>
                <w:left w:val="none" w:sz="0" w:space="0" w:color="auto"/>
                <w:bottom w:val="none" w:sz="0" w:space="0" w:color="auto"/>
                <w:right w:val="none" w:sz="0" w:space="0" w:color="auto"/>
              </w:divBdr>
              <w:divsChild>
                <w:div w:id="19103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3578">
          <w:marLeft w:val="0"/>
          <w:marRight w:val="0"/>
          <w:marTop w:val="0"/>
          <w:marBottom w:val="0"/>
          <w:divBdr>
            <w:top w:val="none" w:sz="0" w:space="0" w:color="auto"/>
            <w:left w:val="none" w:sz="0" w:space="0" w:color="auto"/>
            <w:bottom w:val="none" w:sz="0" w:space="0" w:color="auto"/>
            <w:right w:val="none" w:sz="0" w:space="0" w:color="auto"/>
          </w:divBdr>
          <w:divsChild>
            <w:div w:id="864054388">
              <w:marLeft w:val="0"/>
              <w:marRight w:val="0"/>
              <w:marTop w:val="0"/>
              <w:marBottom w:val="0"/>
              <w:divBdr>
                <w:top w:val="none" w:sz="0" w:space="0" w:color="auto"/>
                <w:left w:val="none" w:sz="0" w:space="0" w:color="auto"/>
                <w:bottom w:val="none" w:sz="0" w:space="0" w:color="auto"/>
                <w:right w:val="none" w:sz="0" w:space="0" w:color="auto"/>
              </w:divBdr>
              <w:divsChild>
                <w:div w:id="1110125756">
                  <w:marLeft w:val="0"/>
                  <w:marRight w:val="0"/>
                  <w:marTop w:val="0"/>
                  <w:marBottom w:val="0"/>
                  <w:divBdr>
                    <w:top w:val="none" w:sz="0" w:space="0" w:color="auto"/>
                    <w:left w:val="none" w:sz="0" w:space="0" w:color="auto"/>
                    <w:bottom w:val="none" w:sz="0" w:space="0" w:color="auto"/>
                    <w:right w:val="none" w:sz="0" w:space="0" w:color="auto"/>
                  </w:divBdr>
                </w:div>
              </w:divsChild>
            </w:div>
            <w:div w:id="1822427634">
              <w:marLeft w:val="0"/>
              <w:marRight w:val="0"/>
              <w:marTop w:val="0"/>
              <w:marBottom w:val="0"/>
              <w:divBdr>
                <w:top w:val="none" w:sz="0" w:space="0" w:color="auto"/>
                <w:left w:val="none" w:sz="0" w:space="0" w:color="auto"/>
                <w:bottom w:val="none" w:sz="0" w:space="0" w:color="auto"/>
                <w:right w:val="none" w:sz="0" w:space="0" w:color="auto"/>
              </w:divBdr>
              <w:divsChild>
                <w:div w:id="15035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8374">
          <w:marLeft w:val="0"/>
          <w:marRight w:val="0"/>
          <w:marTop w:val="0"/>
          <w:marBottom w:val="0"/>
          <w:divBdr>
            <w:top w:val="none" w:sz="0" w:space="0" w:color="auto"/>
            <w:left w:val="none" w:sz="0" w:space="0" w:color="auto"/>
            <w:bottom w:val="none" w:sz="0" w:space="0" w:color="auto"/>
            <w:right w:val="none" w:sz="0" w:space="0" w:color="auto"/>
          </w:divBdr>
          <w:divsChild>
            <w:div w:id="2069263092">
              <w:marLeft w:val="0"/>
              <w:marRight w:val="0"/>
              <w:marTop w:val="0"/>
              <w:marBottom w:val="0"/>
              <w:divBdr>
                <w:top w:val="none" w:sz="0" w:space="0" w:color="auto"/>
                <w:left w:val="none" w:sz="0" w:space="0" w:color="auto"/>
                <w:bottom w:val="none" w:sz="0" w:space="0" w:color="auto"/>
                <w:right w:val="none" w:sz="0" w:space="0" w:color="auto"/>
              </w:divBdr>
              <w:divsChild>
                <w:div w:id="1740865141">
                  <w:marLeft w:val="0"/>
                  <w:marRight w:val="0"/>
                  <w:marTop w:val="0"/>
                  <w:marBottom w:val="0"/>
                  <w:divBdr>
                    <w:top w:val="none" w:sz="0" w:space="0" w:color="auto"/>
                    <w:left w:val="none" w:sz="0" w:space="0" w:color="auto"/>
                    <w:bottom w:val="none" w:sz="0" w:space="0" w:color="auto"/>
                    <w:right w:val="none" w:sz="0" w:space="0" w:color="auto"/>
                  </w:divBdr>
                </w:div>
              </w:divsChild>
            </w:div>
            <w:div w:id="1188181394">
              <w:marLeft w:val="0"/>
              <w:marRight w:val="0"/>
              <w:marTop w:val="0"/>
              <w:marBottom w:val="0"/>
              <w:divBdr>
                <w:top w:val="none" w:sz="0" w:space="0" w:color="auto"/>
                <w:left w:val="none" w:sz="0" w:space="0" w:color="auto"/>
                <w:bottom w:val="none" w:sz="0" w:space="0" w:color="auto"/>
                <w:right w:val="none" w:sz="0" w:space="0" w:color="auto"/>
              </w:divBdr>
              <w:divsChild>
                <w:div w:id="3629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6787">
          <w:marLeft w:val="0"/>
          <w:marRight w:val="0"/>
          <w:marTop w:val="0"/>
          <w:marBottom w:val="0"/>
          <w:divBdr>
            <w:top w:val="none" w:sz="0" w:space="0" w:color="auto"/>
            <w:left w:val="none" w:sz="0" w:space="0" w:color="auto"/>
            <w:bottom w:val="none" w:sz="0" w:space="0" w:color="auto"/>
            <w:right w:val="none" w:sz="0" w:space="0" w:color="auto"/>
          </w:divBdr>
          <w:divsChild>
            <w:div w:id="1053429742">
              <w:marLeft w:val="0"/>
              <w:marRight w:val="0"/>
              <w:marTop w:val="0"/>
              <w:marBottom w:val="0"/>
              <w:divBdr>
                <w:top w:val="none" w:sz="0" w:space="0" w:color="auto"/>
                <w:left w:val="none" w:sz="0" w:space="0" w:color="auto"/>
                <w:bottom w:val="none" w:sz="0" w:space="0" w:color="auto"/>
                <w:right w:val="none" w:sz="0" w:space="0" w:color="auto"/>
              </w:divBdr>
              <w:divsChild>
                <w:div w:id="20118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2594</Words>
  <Characters>14792</Characters>
  <Application>Microsoft Office Word</Application>
  <DocSecurity>0</DocSecurity>
  <Lines>123</Lines>
  <Paragraphs>34</Paragraphs>
  <ScaleCrop>false</ScaleCrop>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2026-03-17T23:25:00Z</dcterms:created>
  <dcterms:modified xsi:type="dcterms:W3CDTF">2026-03-19T00:14:00Z</dcterms:modified>
</cp:coreProperties>
</file>